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40" w:lineRule="exact"/>
        <w:rPr>
          <w:rFonts w:hint="eastAsia" w:ascii="方正黑体_GBK" w:hAnsi="方正黑体_GBK" w:eastAsia="方正黑体_GBK" w:cs="方正黑体_GBK"/>
          <w:b/>
          <w:sz w:val="32"/>
          <w:szCs w:val="32"/>
        </w:rPr>
      </w:pPr>
      <w:r>
        <w:rPr>
          <w:rFonts w:hint="eastAsia" w:ascii="方正黑体_GBK" w:hAnsi="方正黑体_GBK" w:eastAsia="方正黑体_GBK" w:cs="方正黑体_GBK"/>
          <w:b/>
          <w:sz w:val="32"/>
          <w:szCs w:val="32"/>
        </w:rPr>
        <w:t>附件</w:t>
      </w:r>
      <w:r>
        <w:rPr>
          <w:rFonts w:hint="eastAsia" w:ascii="方正黑体_GBK" w:hAnsi="方正黑体_GBK" w:eastAsia="方正黑体_GBK" w:cs="方正黑体_GBK"/>
          <w:b/>
          <w:sz w:val="32"/>
          <w:szCs w:val="32"/>
          <w:lang w:val="en-US" w:eastAsia="zh-CN"/>
        </w:rPr>
        <w:t>1</w:t>
      </w:r>
      <w:r>
        <w:rPr>
          <w:rFonts w:hint="eastAsia" w:ascii="方正黑体_GBK" w:hAnsi="方正黑体_GBK" w:eastAsia="方正黑体_GBK" w:cs="方正黑体_GBK"/>
          <w:b/>
          <w:sz w:val="32"/>
          <w:szCs w:val="32"/>
        </w:rPr>
        <w:t>：</w:t>
      </w:r>
    </w:p>
    <w:p>
      <w:pPr>
        <w:spacing w:line="6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临沂市民政局随机抽查事项清单</w:t>
      </w:r>
    </w:p>
    <w:p>
      <w:pPr>
        <w:spacing w:line="240" w:lineRule="exact"/>
        <w:rPr>
          <w:rFonts w:ascii="黑体" w:hAnsi="黑体" w:eastAsia="黑体"/>
        </w:rPr>
      </w:pPr>
      <w:r>
        <w:rPr>
          <w:rFonts w:hint="eastAsia" w:ascii="黑体" w:hAnsi="黑体" w:eastAsia="黑体"/>
        </w:rPr>
        <w:t xml:space="preserve">                                                                                          </w:t>
      </w:r>
    </w:p>
    <w:tbl>
      <w:tblPr>
        <w:tblStyle w:val="5"/>
        <w:tblW w:w="14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80"/>
        <w:gridCol w:w="7200"/>
        <w:gridCol w:w="180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after="0" w:line="320" w:lineRule="exact"/>
              <w:ind w:left="0" w:leftChars="0" w:right="0" w:firstLine="0" w:firstLineChars="0"/>
              <w:jc w:val="center"/>
              <w:textAlignment w:val="auto"/>
              <w:outlineLvl w:val="9"/>
              <w:rPr>
                <w:rFonts w:ascii="楷体" w:hAnsi="楷体" w:eastAsia="楷体"/>
                <w:b/>
                <w:sz w:val="28"/>
                <w:szCs w:val="28"/>
              </w:rPr>
            </w:pPr>
            <w:r>
              <w:rPr>
                <w:rFonts w:hint="eastAsia" w:ascii="楷体" w:hAnsi="楷体" w:eastAsia="楷体"/>
                <w:b/>
                <w:sz w:val="28"/>
                <w:szCs w:val="28"/>
              </w:rPr>
              <w:t>序号</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after="0" w:line="320" w:lineRule="exact"/>
              <w:ind w:left="0" w:leftChars="0" w:right="0" w:firstLine="0" w:firstLineChars="0"/>
              <w:jc w:val="center"/>
              <w:textAlignment w:val="auto"/>
              <w:outlineLvl w:val="9"/>
              <w:rPr>
                <w:rFonts w:ascii="楷体" w:hAnsi="楷体" w:eastAsia="楷体"/>
                <w:b/>
                <w:sz w:val="28"/>
                <w:szCs w:val="28"/>
              </w:rPr>
            </w:pPr>
            <w:r>
              <w:rPr>
                <w:rFonts w:hint="eastAsia" w:ascii="楷体" w:hAnsi="楷体" w:eastAsia="楷体"/>
                <w:b/>
                <w:sz w:val="28"/>
                <w:szCs w:val="28"/>
              </w:rPr>
              <w:t>抽查项目</w:t>
            </w:r>
          </w:p>
        </w:tc>
        <w:tc>
          <w:tcPr>
            <w:tcW w:w="7200"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after="0" w:line="320" w:lineRule="exact"/>
              <w:ind w:left="0" w:leftChars="0" w:right="0" w:firstLine="0" w:firstLineChars="0"/>
              <w:jc w:val="center"/>
              <w:textAlignment w:val="auto"/>
              <w:outlineLvl w:val="9"/>
              <w:rPr>
                <w:rFonts w:ascii="楷体" w:hAnsi="楷体" w:eastAsia="楷体"/>
                <w:b/>
                <w:sz w:val="28"/>
                <w:szCs w:val="28"/>
              </w:rPr>
            </w:pPr>
            <w:r>
              <w:rPr>
                <w:rFonts w:hint="eastAsia" w:ascii="楷体" w:hAnsi="楷体" w:eastAsia="楷体"/>
                <w:b/>
                <w:sz w:val="28"/>
                <w:szCs w:val="28"/>
              </w:rPr>
              <w:t>抽查依据</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after="0" w:line="320" w:lineRule="exact"/>
              <w:ind w:left="0" w:leftChars="0" w:right="0" w:firstLine="0" w:firstLineChars="0"/>
              <w:jc w:val="center"/>
              <w:textAlignment w:val="auto"/>
              <w:outlineLvl w:val="9"/>
              <w:rPr>
                <w:rFonts w:ascii="楷体" w:hAnsi="楷体" w:eastAsia="楷体"/>
                <w:b/>
                <w:sz w:val="28"/>
                <w:szCs w:val="28"/>
              </w:rPr>
            </w:pPr>
            <w:r>
              <w:rPr>
                <w:rFonts w:hint="eastAsia" w:ascii="楷体" w:hAnsi="楷体" w:eastAsia="楷体"/>
                <w:b/>
                <w:sz w:val="28"/>
                <w:szCs w:val="28"/>
              </w:rPr>
              <w:t>抽查主体</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after="0" w:line="320" w:lineRule="exact"/>
              <w:ind w:left="0" w:leftChars="0" w:right="0" w:firstLine="0" w:firstLineChars="0"/>
              <w:jc w:val="center"/>
              <w:textAlignment w:val="auto"/>
              <w:outlineLvl w:val="9"/>
              <w:rPr>
                <w:rFonts w:ascii="楷体" w:hAnsi="楷体" w:eastAsia="楷体"/>
                <w:b/>
                <w:sz w:val="28"/>
                <w:szCs w:val="28"/>
              </w:rPr>
            </w:pPr>
            <w:r>
              <w:rPr>
                <w:rFonts w:hint="eastAsia" w:ascii="楷体" w:hAnsi="楷体" w:eastAsia="楷体"/>
                <w:b/>
                <w:sz w:val="28"/>
                <w:szCs w:val="28"/>
              </w:rPr>
              <w:t>抽查方式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1</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对社会团体违反《社会团体登记管理条例》的问题进行监督检查</w:t>
            </w:r>
            <w:bookmarkStart w:id="0" w:name="_GoBack"/>
            <w:bookmarkEnd w:id="0"/>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《社会团体登记管理条例》</w:t>
            </w:r>
            <w:r>
              <w:rPr>
                <w:rFonts w:hint="eastAsia" w:ascii="楷体" w:hAnsi="楷体" w:eastAsia="楷体" w:cs="黑体"/>
                <w:color w:val="000000"/>
                <w:kern w:val="0"/>
                <w:szCs w:val="21"/>
              </w:rPr>
              <w:t>（1998年10月25日国务院令第250号）</w:t>
            </w:r>
            <w:r>
              <w:rPr>
                <w:rFonts w:hint="eastAsia" w:ascii="楷体" w:hAnsi="楷体" w:eastAsia="楷体"/>
              </w:rPr>
              <w:t xml:space="preserve">第二十七条 登记管理机关履行下列监督管理职责： </w:t>
            </w:r>
          </w:p>
          <w:p>
            <w:pPr>
              <w:spacing w:line="240" w:lineRule="exact"/>
              <w:rPr>
                <w:rFonts w:hint="eastAsia" w:ascii="楷体" w:hAnsi="楷体" w:eastAsia="楷体"/>
              </w:rPr>
            </w:pPr>
            <w:r>
              <w:rPr>
                <w:rFonts w:hint="eastAsia" w:ascii="楷体" w:hAnsi="楷体" w:eastAsia="楷体"/>
              </w:rPr>
              <w:t xml:space="preserve">（一）负责社会团体的成立、变更、注销的登记或者备案； </w:t>
            </w:r>
          </w:p>
          <w:p>
            <w:pPr>
              <w:spacing w:line="240" w:lineRule="exact"/>
              <w:rPr>
                <w:rFonts w:hint="eastAsia" w:ascii="楷体" w:hAnsi="楷体" w:eastAsia="楷体"/>
              </w:rPr>
            </w:pPr>
            <w:r>
              <w:rPr>
                <w:rFonts w:hint="eastAsia" w:ascii="楷体" w:hAnsi="楷体" w:eastAsia="楷体"/>
              </w:rPr>
              <w:t xml:space="preserve">（二）对社会团体实施年度检查； </w:t>
            </w:r>
          </w:p>
          <w:p>
            <w:pPr>
              <w:spacing w:line="240" w:lineRule="exact"/>
              <w:rPr>
                <w:rFonts w:ascii="楷体" w:hAnsi="楷体" w:eastAsia="楷体"/>
              </w:rPr>
            </w:pPr>
            <w:r>
              <w:rPr>
                <w:rFonts w:hint="eastAsia" w:ascii="楷体" w:hAnsi="楷体" w:eastAsia="楷体"/>
              </w:rPr>
              <w:t>（三）对社会团体违反本条例的问题进行监督检查，对社会团体违反本条例的行为给予行政处罚。</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民间组织管理局</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2</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对基金会、境外基金会代表机构依照本条例及其章程开展活动的情况进行日常监督管理</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《基金会管理条例》</w:t>
            </w:r>
            <w:r>
              <w:rPr>
                <w:rFonts w:hint="eastAsia" w:ascii="楷体" w:hAnsi="楷体" w:eastAsia="楷体" w:cs="黑体"/>
                <w:color w:val="000000"/>
                <w:kern w:val="0"/>
                <w:szCs w:val="21"/>
              </w:rPr>
              <w:t>（</w:t>
            </w:r>
            <w:r>
              <w:rPr>
                <w:rFonts w:hint="eastAsia" w:ascii="楷体" w:hAnsi="楷体" w:eastAsia="楷体" w:cs="宋体"/>
                <w:color w:val="000000"/>
                <w:kern w:val="0"/>
                <w:szCs w:val="21"/>
              </w:rPr>
              <w:t>2004年3月8日</w:t>
            </w:r>
            <w:r>
              <w:rPr>
                <w:rFonts w:hint="eastAsia" w:ascii="楷体" w:hAnsi="楷体" w:eastAsia="楷体" w:cs="黑体"/>
                <w:color w:val="000000"/>
                <w:kern w:val="0"/>
                <w:szCs w:val="21"/>
              </w:rPr>
              <w:t>国务院令第400号）</w:t>
            </w:r>
            <w:r>
              <w:rPr>
                <w:rFonts w:hint="eastAsia" w:ascii="楷体" w:hAnsi="楷体" w:eastAsia="楷体"/>
              </w:rPr>
              <w:t>第三十四条  基金会登记管理机关履行下列监督管理职责：</w:t>
            </w:r>
          </w:p>
          <w:p>
            <w:pPr>
              <w:spacing w:line="240" w:lineRule="exact"/>
              <w:rPr>
                <w:rFonts w:hint="eastAsia" w:ascii="楷体" w:hAnsi="楷体" w:eastAsia="楷体"/>
              </w:rPr>
            </w:pPr>
            <w:r>
              <w:rPr>
                <w:rFonts w:hint="eastAsia" w:ascii="楷体" w:hAnsi="楷体" w:eastAsia="楷体"/>
              </w:rPr>
              <w:t>（一）对基金会、境外基金会代表机构实施年度检查；</w:t>
            </w:r>
          </w:p>
          <w:p>
            <w:pPr>
              <w:spacing w:line="240" w:lineRule="exact"/>
              <w:rPr>
                <w:rFonts w:hint="eastAsia" w:ascii="楷体" w:hAnsi="楷体" w:eastAsia="楷体"/>
              </w:rPr>
            </w:pPr>
            <w:r>
              <w:rPr>
                <w:rFonts w:hint="eastAsia" w:ascii="楷体" w:hAnsi="楷体" w:eastAsia="楷体"/>
              </w:rPr>
              <w:t>（二）对基金会、境外基金会代表机构依照本条例及其章程开展活动的情况进行日常监督管理；</w:t>
            </w:r>
          </w:p>
          <w:p>
            <w:pPr>
              <w:spacing w:line="240" w:lineRule="exact"/>
            </w:pPr>
            <w:r>
              <w:rPr>
                <w:rFonts w:hint="eastAsia" w:ascii="楷体" w:hAnsi="楷体" w:eastAsia="楷体"/>
              </w:rPr>
              <w:t>（三）对基金会、境外基金会代表机构违反本条例的行为依法进行处罚。</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民间组织管理局</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9"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3</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对民办非企业单位违反《民办非企业单位登记管理暂行条例》的问题进行监督检查</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《民办非企业单位登记管理暂行条例》</w:t>
            </w:r>
            <w:r>
              <w:rPr>
                <w:rFonts w:hint="eastAsia" w:ascii="楷体" w:hAnsi="楷体" w:eastAsia="楷体" w:cs="黑体"/>
                <w:color w:val="000000"/>
                <w:kern w:val="0"/>
                <w:szCs w:val="21"/>
              </w:rPr>
              <w:t>（1998年10月25日国务院令第251号）</w:t>
            </w:r>
            <w:r>
              <w:rPr>
                <w:rFonts w:hint="eastAsia" w:ascii="楷体" w:hAnsi="楷体" w:eastAsia="楷体"/>
              </w:rPr>
              <w:t>第十九条登记管理机关履行下列监督管理职责:</w:t>
            </w:r>
          </w:p>
          <w:p>
            <w:pPr>
              <w:spacing w:line="240" w:lineRule="exact"/>
              <w:rPr>
                <w:rFonts w:hint="eastAsia" w:ascii="楷体" w:hAnsi="楷体" w:eastAsia="楷体"/>
              </w:rPr>
            </w:pPr>
            <w:r>
              <w:rPr>
                <w:rFonts w:hint="eastAsia" w:ascii="楷体" w:hAnsi="楷体" w:eastAsia="楷体"/>
              </w:rPr>
              <w:t>(一)负责民办非企业单位的成立、变更、注销登记;</w:t>
            </w:r>
          </w:p>
          <w:p>
            <w:pPr>
              <w:spacing w:line="240" w:lineRule="exact"/>
              <w:rPr>
                <w:rFonts w:hint="eastAsia" w:ascii="楷体" w:hAnsi="楷体" w:eastAsia="楷体"/>
              </w:rPr>
            </w:pPr>
            <w:r>
              <w:rPr>
                <w:rFonts w:hint="eastAsia" w:ascii="楷体" w:hAnsi="楷体" w:eastAsia="楷体"/>
              </w:rPr>
              <w:t>(二)对民办非企业单位实施年度检查;</w:t>
            </w:r>
          </w:p>
          <w:p>
            <w:pPr>
              <w:spacing w:line="240" w:lineRule="exact"/>
            </w:pPr>
            <w:r>
              <w:rPr>
                <w:rFonts w:hint="eastAsia" w:ascii="楷体" w:hAnsi="楷体" w:eastAsia="楷体"/>
              </w:rPr>
              <w:t>(三)对民办非企业单位违反本条例的问题进行监督检查，对民办非企业单位违反本条例的行为给予行政处罚。</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民间组织管理局</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4</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pPr>
            <w:r>
              <w:rPr>
                <w:rFonts w:hint="eastAsia" w:ascii="楷体" w:hAnsi="楷体" w:eastAsia="楷体"/>
              </w:rPr>
              <w:t>加强对地名工作的管理、监督和检查</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pPr>
            <w:r>
              <w:rPr>
                <w:rFonts w:hint="eastAsia" w:ascii="楷体" w:hAnsi="楷体" w:eastAsia="楷体"/>
              </w:rPr>
              <w:t>《地名管理条例实施细则》</w:t>
            </w:r>
            <w:r>
              <w:rPr>
                <w:rFonts w:hint="eastAsia" w:ascii="楷体" w:hAnsi="楷体" w:eastAsia="楷体" w:cs="黑体"/>
                <w:color w:val="000000"/>
                <w:kern w:val="0"/>
                <w:szCs w:val="21"/>
              </w:rPr>
              <w:t>（1996年6月18日民发〔1996〕第17号）</w:t>
            </w:r>
            <w:r>
              <w:rPr>
                <w:rFonts w:hint="eastAsia" w:ascii="楷体" w:hAnsi="楷体" w:eastAsia="楷体"/>
              </w:rPr>
              <w:t>第三十二条各级地名管理部门应当加强地名工作的管理、监督和检查。对擅自命名、更名或使用不规范地名的单位和个人，应发送违章使用地名通知书，限期纠正；对逾期不改或情节严重、造成不良后果者，地名管理部门应根据有关规定，对其进行处罚。</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区划地名科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5</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负责本行政区域界线管理工作</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《行政区域界线管理条例》</w:t>
            </w:r>
            <w:r>
              <w:rPr>
                <w:rFonts w:hint="eastAsia" w:ascii="楷体" w:hAnsi="楷体" w:eastAsia="楷体" w:cs="黑体"/>
                <w:color w:val="000000"/>
                <w:kern w:val="0"/>
                <w:szCs w:val="21"/>
              </w:rPr>
              <w:t>（2002年5月13日国务院令第353号）</w:t>
            </w:r>
            <w:r>
              <w:rPr>
                <w:rFonts w:hint="eastAsia" w:ascii="楷体" w:hAnsi="楷体" w:eastAsia="楷体"/>
              </w:rPr>
              <w:t xml:space="preserve"> 第三条 国务院民政部门负责全国行政区域界线管理工作。县级以上地方各级人民政府民政部门负责本行政区域界线管理工作。</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区划地名科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6</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负责区域界线界桩管理保护工作</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《行政区域界线界桩管理办法》</w:t>
            </w:r>
            <w:r>
              <w:rPr>
                <w:rFonts w:hint="eastAsia" w:ascii="楷体" w:hAnsi="楷体" w:eastAsia="楷体" w:cs="黑体"/>
                <w:color w:val="000000"/>
                <w:kern w:val="0"/>
                <w:szCs w:val="21"/>
              </w:rPr>
              <w:t>（2008年8月29日民政部令第36号）</w:t>
            </w:r>
            <w:r>
              <w:rPr>
                <w:rFonts w:hint="eastAsia" w:ascii="楷体" w:hAnsi="楷体" w:eastAsia="楷体"/>
              </w:rPr>
              <w:t>第三条 县级以上各级人民政府民政部门根据职责分工分级负责各级行政区域界线界桩的管理工作。</w:t>
            </w:r>
          </w:p>
          <w:p>
            <w:pPr>
              <w:spacing w:line="240" w:lineRule="exact"/>
              <w:rPr>
                <w:rFonts w:ascii="楷体" w:hAnsi="楷体" w:eastAsia="楷体"/>
              </w:rPr>
            </w:pPr>
            <w:r>
              <w:rPr>
                <w:rFonts w:hint="eastAsia" w:ascii="楷体" w:hAnsi="楷体" w:eastAsia="楷体"/>
              </w:rPr>
              <w:t>　　行政区域毗邻的县级人民政府民政部门具体承担各级行政区域界线界桩（以下简称“界桩”）的管理和保护工作。</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区划地名科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7</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对社会福利机构进行管理、监督和检查</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《社会福利机构管理暂行办法》</w:t>
            </w:r>
            <w:r>
              <w:rPr>
                <w:rFonts w:hint="eastAsia" w:ascii="楷体" w:hAnsi="楷体" w:eastAsia="楷体" w:cs="黑体"/>
                <w:color w:val="000000"/>
                <w:kern w:val="0"/>
                <w:szCs w:val="21"/>
              </w:rPr>
              <w:t>（1999年12月30日民政部令第19号）</w:t>
            </w:r>
            <w:r>
              <w:rPr>
                <w:rFonts w:hint="eastAsia" w:ascii="楷体" w:hAnsi="楷体" w:eastAsia="楷体"/>
              </w:rPr>
              <w:t>第五条 国务院民政部门负责指导全国社会福利机构的管理工作。县级以上地方人民政府民政部门是社会福利机构的业务主管部门，对社会福利机构进行管理、监督和检查。</w:t>
            </w:r>
          </w:p>
          <w:p>
            <w:pPr>
              <w:spacing w:line="240" w:lineRule="exact"/>
            </w:pPr>
            <w:r>
              <w:rPr>
                <w:rFonts w:hint="eastAsia" w:ascii="楷体" w:hAnsi="楷体" w:eastAsia="楷体"/>
              </w:rPr>
              <w:t>第二十五条 县级以上人民政府民政部门应当定期对社会福利机构的工作进行年度检查。</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社会福利和慈善事业促进科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8</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pPr>
            <w:r>
              <w:rPr>
                <w:rFonts w:hint="eastAsia" w:ascii="楷体" w:hAnsi="楷体" w:eastAsia="楷体"/>
              </w:rPr>
              <w:t>对养老机构的名称、住所、法定代表人或主要负责人、服务范围等设立许可证载明事项的变化情况进行监督检查</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pPr>
            <w:r>
              <w:rPr>
                <w:rFonts w:hint="eastAsia" w:ascii="楷体" w:hAnsi="楷体" w:eastAsia="楷体"/>
              </w:rPr>
              <w:t>《养老机构设立许可办法》</w:t>
            </w:r>
            <w:r>
              <w:rPr>
                <w:rFonts w:hint="eastAsia" w:ascii="楷体" w:hAnsi="楷体" w:eastAsia="楷体"/>
                <w:szCs w:val="21"/>
              </w:rPr>
              <w:t>(2013年6月28日民政部令第48号)</w:t>
            </w:r>
            <w:r>
              <w:rPr>
                <w:rFonts w:hint="eastAsia" w:ascii="楷体" w:hAnsi="楷体" w:eastAsia="楷体"/>
              </w:rPr>
              <w:t xml:space="preserve">第二十二条 许可机关依法对养老机构的名称、住所、法定代表人或者主要负责人、服务范围等设立许可证载明事项的变化情况进行监督检查，养老机构应当接受和配合监督检查。 </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社会福利和慈善事业促进科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9</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楷体" w:hAnsi="楷体" w:eastAsia="楷体"/>
              </w:rPr>
            </w:pPr>
            <w:r>
              <w:rPr>
                <w:rFonts w:hint="eastAsia" w:ascii="楷体" w:hAnsi="楷体" w:eastAsia="楷体"/>
              </w:rPr>
              <w:t>对养老机构进行监督检查</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《养老机构管理办法》</w:t>
            </w:r>
            <w:r>
              <w:rPr>
                <w:rFonts w:hint="eastAsia" w:ascii="楷体" w:hAnsi="楷体" w:eastAsia="楷体" w:cs="黑体"/>
                <w:color w:val="000000"/>
                <w:kern w:val="0"/>
                <w:szCs w:val="21"/>
              </w:rPr>
              <w:t>（2013年6月28日民政部令第49号）</w:t>
            </w:r>
            <w:r>
              <w:rPr>
                <w:rFonts w:hint="eastAsia" w:ascii="楷体" w:hAnsi="楷体" w:eastAsia="楷体"/>
              </w:rPr>
              <w:t>第二十八条  民政部门应当按照实施许可权限，通过书面检查或者实地查验等方式对养老机构进行监督检查，并向社会公布检查结果。上级民政部门可以委托下级民政部门进行监督检查。</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社会福利和慈善事业促进科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10</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楷体" w:hAnsi="楷体" w:eastAsia="楷体"/>
              </w:rPr>
            </w:pPr>
            <w:r>
              <w:rPr>
                <w:rFonts w:hint="eastAsia" w:ascii="楷体" w:hAnsi="楷体" w:eastAsia="楷体"/>
              </w:rPr>
              <w:t>指导、检查本地区家庭寄养工作</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《家庭寄养管理办法》</w:t>
            </w:r>
            <w:r>
              <w:rPr>
                <w:rFonts w:hint="eastAsia" w:ascii="楷体" w:hAnsi="楷体" w:eastAsia="楷体" w:cs="黑体"/>
                <w:color w:val="000000"/>
                <w:kern w:val="0"/>
                <w:szCs w:val="21"/>
              </w:rPr>
              <w:t>（2014年9月24日民政部令第54号）</w:t>
            </w:r>
            <w:r>
              <w:rPr>
                <w:rFonts w:hint="eastAsia" w:ascii="楷体" w:hAnsi="楷体" w:eastAsia="楷体"/>
              </w:rPr>
              <w:t>第二十六条  县级以上地方人民政府民政部门对家庭寄养工作负有以下监督管理职责：</w:t>
            </w:r>
          </w:p>
          <w:p>
            <w:pPr>
              <w:spacing w:line="240" w:lineRule="exact"/>
              <w:rPr>
                <w:rFonts w:hint="eastAsia" w:ascii="楷体" w:hAnsi="楷体" w:eastAsia="楷体"/>
              </w:rPr>
            </w:pPr>
            <w:r>
              <w:rPr>
                <w:rFonts w:hint="eastAsia" w:ascii="楷体" w:hAnsi="楷体" w:eastAsia="楷体"/>
              </w:rPr>
              <w:t>（一）制定本地区家庭寄养工作政策；</w:t>
            </w:r>
          </w:p>
          <w:p>
            <w:pPr>
              <w:spacing w:line="240" w:lineRule="exact"/>
              <w:rPr>
                <w:rFonts w:hint="eastAsia" w:ascii="楷体" w:hAnsi="楷体" w:eastAsia="楷体"/>
              </w:rPr>
            </w:pPr>
            <w:r>
              <w:rPr>
                <w:rFonts w:hint="eastAsia" w:ascii="楷体" w:hAnsi="楷体" w:eastAsia="楷体"/>
              </w:rPr>
              <w:t>（二）指导、检查本地区家庭寄养工作；</w:t>
            </w:r>
          </w:p>
          <w:p>
            <w:pPr>
              <w:spacing w:line="240" w:lineRule="exact"/>
              <w:rPr>
                <w:rFonts w:hint="eastAsia" w:ascii="楷体" w:hAnsi="楷体" w:eastAsia="楷体"/>
              </w:rPr>
            </w:pPr>
            <w:r>
              <w:rPr>
                <w:rFonts w:hint="eastAsia" w:ascii="楷体" w:hAnsi="楷体" w:eastAsia="楷体"/>
              </w:rPr>
              <w:t>（三）负责寄养协议的备案，监督寄养协议的履行；</w:t>
            </w:r>
          </w:p>
          <w:p>
            <w:pPr>
              <w:spacing w:line="240" w:lineRule="exact"/>
              <w:rPr>
                <w:rFonts w:hint="eastAsia" w:ascii="楷体" w:hAnsi="楷体" w:eastAsia="楷体"/>
              </w:rPr>
            </w:pPr>
            <w:r>
              <w:rPr>
                <w:rFonts w:hint="eastAsia" w:ascii="楷体" w:hAnsi="楷体" w:eastAsia="楷体"/>
              </w:rPr>
              <w:t>（四）协调解决儿童福利机构与寄养家庭之间的争议；</w:t>
            </w:r>
          </w:p>
          <w:p>
            <w:pPr>
              <w:spacing w:line="240" w:lineRule="exact"/>
              <w:rPr>
                <w:rFonts w:ascii="楷体" w:hAnsi="楷体" w:eastAsia="楷体"/>
              </w:rPr>
            </w:pPr>
            <w:r>
              <w:rPr>
                <w:rFonts w:hint="eastAsia" w:ascii="楷体" w:hAnsi="楷体" w:eastAsia="楷体"/>
              </w:rPr>
              <w:t>（五）与有关部门协商，及时处理家庭寄养工作中存在的问题。</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社会福利和慈善事业促进科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11</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负责本行政区域内的殡葬管理工作</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《殡葬管理条例》</w:t>
            </w:r>
            <w:r>
              <w:rPr>
                <w:rFonts w:hint="eastAsia" w:ascii="楷体" w:hAnsi="楷体" w:eastAsia="楷体" w:cs="宋体"/>
                <w:kern w:val="0"/>
                <w:szCs w:val="21"/>
              </w:rPr>
              <w:t>（</w:t>
            </w:r>
            <w:r>
              <w:rPr>
                <w:rFonts w:hint="eastAsia" w:ascii="楷体" w:hAnsi="楷体" w:eastAsia="楷体" w:cs="黑体"/>
                <w:color w:val="000000"/>
                <w:kern w:val="0"/>
                <w:szCs w:val="21"/>
              </w:rPr>
              <w:t>1997年7月21日国务院令第225号</w:t>
            </w:r>
            <w:r>
              <w:rPr>
                <w:rFonts w:hint="eastAsia" w:ascii="楷体" w:hAnsi="楷体" w:eastAsia="楷体" w:cs="宋体"/>
                <w:kern w:val="0"/>
                <w:szCs w:val="21"/>
              </w:rPr>
              <w:t>）</w:t>
            </w:r>
            <w:r>
              <w:rPr>
                <w:rFonts w:hint="eastAsia" w:ascii="楷体" w:hAnsi="楷体" w:eastAsia="楷体"/>
              </w:rPr>
              <w:t>第三条国务院民政部门负责全国的殡葬管理工作。县级以上地方人民政府民政部门负责本行政区域内的殡葬管理工作。</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社会事务科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12</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楷体" w:hAnsi="楷体" w:eastAsia="楷体"/>
              </w:rPr>
            </w:pPr>
            <w:r>
              <w:rPr>
                <w:rFonts w:hint="eastAsia" w:ascii="楷体" w:hAnsi="楷体" w:eastAsia="楷体"/>
              </w:rPr>
              <w:t>负责本行政区域内的公墓管理</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《公墓管理暂行办法》</w:t>
            </w:r>
            <w:r>
              <w:rPr>
                <w:rFonts w:hint="eastAsia" w:ascii="楷体" w:hAnsi="楷体" w:eastAsia="楷体" w:cs="宋体"/>
                <w:kern w:val="0"/>
                <w:szCs w:val="21"/>
              </w:rPr>
              <w:t>（</w:t>
            </w:r>
            <w:r>
              <w:rPr>
                <w:rFonts w:hint="eastAsia" w:ascii="楷体" w:hAnsi="楷体" w:eastAsia="楷体" w:cs="黑体"/>
                <w:color w:val="000000"/>
                <w:kern w:val="0"/>
                <w:szCs w:val="21"/>
              </w:rPr>
              <w:t>1992年8月25日民事发〔1992〕第24号</w:t>
            </w:r>
            <w:r>
              <w:rPr>
                <w:rFonts w:hint="eastAsia" w:ascii="楷体" w:hAnsi="楷体" w:eastAsia="楷体" w:cs="宋体"/>
                <w:kern w:val="0"/>
                <w:szCs w:val="21"/>
              </w:rPr>
              <w:t>）</w:t>
            </w:r>
            <w:r>
              <w:rPr>
                <w:rFonts w:hint="eastAsia" w:ascii="楷体" w:hAnsi="楷体" w:eastAsia="楷体"/>
              </w:rPr>
              <w:t>第六条 民政部是全国公墓的主管部门，负责制定公墓建设的政策法规和总体规划，进行宏观指导。县级以上各级民政部门是本行政区域内的公墓主管部门，负责贯彻执行国家公墓政策法规，对本行政区域内的公墓建设和发展进行具体指导。</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楷体" w:hAnsi="楷体" w:eastAsia="楷体"/>
              </w:rPr>
            </w:pPr>
            <w:r>
              <w:rPr>
                <w:rFonts w:hint="eastAsia" w:ascii="楷体" w:hAnsi="楷体" w:eastAsia="楷体"/>
              </w:rPr>
              <w:t>社会事务科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t>13</w:t>
            </w:r>
          </w:p>
        </w:tc>
        <w:tc>
          <w:tcPr>
            <w:tcW w:w="2880" w:type="dxa"/>
            <w:tcBorders>
              <w:top w:val="single" w:color="auto" w:sz="4" w:space="0"/>
              <w:left w:val="single" w:color="auto" w:sz="4" w:space="0"/>
              <w:bottom w:val="single" w:color="auto" w:sz="4" w:space="0"/>
              <w:right w:val="single" w:color="auto" w:sz="4" w:space="0"/>
            </w:tcBorders>
            <w:vAlign w:val="center"/>
          </w:tcPr>
          <w:p>
            <w:pPr>
              <w:spacing w:line="240" w:lineRule="exact"/>
              <w:jc w:val="left"/>
            </w:pPr>
            <w:r>
              <w:rPr>
                <w:rFonts w:hint="eastAsia" w:ascii="楷体" w:hAnsi="楷体" w:eastAsia="楷体"/>
              </w:rPr>
              <w:t>指导检查救助站救助工作情况</w:t>
            </w:r>
          </w:p>
        </w:tc>
        <w:tc>
          <w:tcPr>
            <w:tcW w:w="7200" w:type="dxa"/>
            <w:tcBorders>
              <w:top w:val="single" w:color="auto" w:sz="4" w:space="0"/>
              <w:left w:val="single" w:color="auto" w:sz="4" w:space="0"/>
              <w:bottom w:val="single" w:color="auto" w:sz="4" w:space="0"/>
              <w:right w:val="single" w:color="auto" w:sz="4" w:space="0"/>
            </w:tcBorders>
            <w:vAlign w:val="top"/>
          </w:tcPr>
          <w:p>
            <w:pPr>
              <w:spacing w:line="240" w:lineRule="exact"/>
              <w:rPr>
                <w:rFonts w:ascii="楷体" w:hAnsi="楷体" w:eastAsia="楷体"/>
              </w:rPr>
            </w:pPr>
            <w:r>
              <w:rPr>
                <w:rFonts w:hint="eastAsia" w:ascii="楷体" w:hAnsi="楷体" w:eastAsia="楷体"/>
              </w:rPr>
              <w:t>《城市生活无着的流浪乞讨人员救助管理办法实施细则》</w:t>
            </w:r>
            <w:r>
              <w:rPr>
                <w:rFonts w:hint="eastAsia" w:ascii="楷体" w:hAnsi="楷体" w:eastAsia="楷体" w:cs="宋体"/>
                <w:kern w:val="0"/>
                <w:szCs w:val="21"/>
              </w:rPr>
              <w:t>（2003年7月21日民政部令第24号）</w:t>
            </w:r>
            <w:r>
              <w:rPr>
                <w:rFonts w:hint="eastAsia" w:ascii="楷体" w:hAnsi="楷体" w:eastAsia="楷体"/>
              </w:rPr>
              <w:t>第二十二条　县级以上地方人民政府民政部门应当加强对救助站的领导和监督管理，履行以下职责：</w:t>
            </w:r>
          </w:p>
          <w:p>
            <w:pPr>
              <w:spacing w:line="240" w:lineRule="exact"/>
              <w:rPr>
                <w:rFonts w:hint="eastAsia" w:ascii="楷体" w:hAnsi="楷体" w:eastAsia="楷体"/>
              </w:rPr>
            </w:pPr>
            <w:r>
              <w:rPr>
                <w:rFonts w:hint="eastAsia" w:ascii="楷体" w:hAnsi="楷体" w:eastAsia="楷体"/>
              </w:rPr>
              <w:t>（一）监督救助站落实救助措施和规章制度；</w:t>
            </w:r>
          </w:p>
          <w:p>
            <w:pPr>
              <w:spacing w:line="240" w:lineRule="exact"/>
              <w:rPr>
                <w:rFonts w:hint="eastAsia" w:ascii="楷体" w:hAnsi="楷体" w:eastAsia="楷体"/>
              </w:rPr>
            </w:pPr>
            <w:r>
              <w:rPr>
                <w:rFonts w:hint="eastAsia" w:ascii="楷体" w:hAnsi="楷体" w:eastAsia="楷体"/>
              </w:rPr>
              <w:t>（二）指导检查救助工作情况;</w:t>
            </w:r>
          </w:p>
          <w:p>
            <w:pPr>
              <w:spacing w:line="240" w:lineRule="exact"/>
              <w:rPr>
                <w:rFonts w:hint="eastAsia" w:ascii="楷体" w:hAnsi="楷体" w:eastAsia="楷体"/>
              </w:rPr>
            </w:pPr>
            <w:r>
              <w:rPr>
                <w:rFonts w:hint="eastAsia" w:ascii="楷体" w:hAnsi="楷体" w:eastAsia="楷体"/>
              </w:rPr>
              <w:t>（三）对救助站工作人员进行教育、培训;</w:t>
            </w:r>
          </w:p>
          <w:p>
            <w:pPr>
              <w:spacing w:line="240" w:lineRule="exact"/>
              <w:rPr>
                <w:rFonts w:hint="eastAsia" w:ascii="楷体" w:hAnsi="楷体" w:eastAsia="楷体"/>
              </w:rPr>
            </w:pPr>
            <w:r>
              <w:rPr>
                <w:rFonts w:hint="eastAsia" w:ascii="楷体" w:hAnsi="楷体" w:eastAsia="楷体"/>
              </w:rPr>
              <w:t>（四）调查、处理救助站及其工作人员违法违纪问题；</w:t>
            </w:r>
          </w:p>
          <w:p>
            <w:pPr>
              <w:spacing w:line="240" w:lineRule="exact"/>
              <w:rPr>
                <w:rFonts w:hint="eastAsia" w:ascii="楷体" w:hAnsi="楷体" w:eastAsia="楷体"/>
              </w:rPr>
            </w:pPr>
            <w:r>
              <w:rPr>
                <w:rFonts w:hint="eastAsia" w:ascii="楷体" w:hAnsi="楷体" w:eastAsia="楷体"/>
              </w:rPr>
              <w:t>（五）帮助救助站解决困难，提供工作条件。</w:t>
            </w:r>
          </w:p>
          <w:p>
            <w:pPr>
              <w:spacing w:line="240" w:lineRule="exact"/>
              <w:rPr>
                <w:rFonts w:ascii="楷体" w:hAnsi="楷体" w:eastAsia="楷体"/>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社会事务科</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楷体" w:hAnsi="楷体" w:eastAsia="楷体"/>
              </w:rPr>
              <w:t>随机抽查</w:t>
            </w:r>
          </w:p>
        </w:tc>
      </w:tr>
    </w:tbl>
    <w:p>
      <w:pPr>
        <w:ind w:firstLine="645"/>
        <w:rPr>
          <w:rFonts w:hint="eastAsia" w:ascii="仿宋" w:hAnsi="仿宋" w:eastAsia="仿宋" w:cs="仿宋"/>
          <w:sz w:val="32"/>
          <w:szCs w:val="32"/>
        </w:rPr>
      </w:pPr>
    </w:p>
    <w:p>
      <w:pPr>
        <w:ind w:firstLine="645"/>
        <w:rPr>
          <w:rFonts w:hint="eastAsia"/>
        </w:rPr>
      </w:pPr>
    </w:p>
    <w:p>
      <w:pPr>
        <w:spacing w:line="220" w:lineRule="atLeast"/>
      </w:pPr>
    </w:p>
    <w:sectPr>
      <w:pgSz w:w="16838" w:h="11906" w:orient="landscape"/>
      <w:pgMar w:top="1800" w:right="1440" w:bottom="1800" w:left="144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10600030101010101"/>
    <w:charset w:val="86"/>
    <w:family w:val="auto"/>
    <w:pitch w:val="default"/>
    <w:sig w:usb0="00000003" w:usb1="288F0000" w:usb2="00000006" w:usb3="00000000" w:csb0="0004001F" w:csb1="00000000"/>
  </w:font>
  <w:font w:name="方正黑体_GBK">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05"/>
  <w:displayHorizontalDrawingGridEvery w:val="2"/>
  <w:displayVerticalDrawingGridEvery w:val="2"/>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1F1C1F"/>
    <w:rsid w:val="00323B43"/>
    <w:rsid w:val="003C7AE6"/>
    <w:rsid w:val="003D37D8"/>
    <w:rsid w:val="00426133"/>
    <w:rsid w:val="004358AB"/>
    <w:rsid w:val="008458DE"/>
    <w:rsid w:val="008B7726"/>
    <w:rsid w:val="00D31D50"/>
    <w:rsid w:val="5C2103CA"/>
    <w:rsid w:val="62791D3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rFonts w:ascii="Times New Roman" w:hAnsi="Times New Roman" w:eastAsia="宋体" w:cs="Times New Roman"/>
      <w:kern w:val="2"/>
      <w:sz w:val="18"/>
      <w:szCs w:val="18"/>
    </w:rPr>
  </w:style>
  <w:style w:type="character" w:customStyle="1" w:styleId="7">
    <w:name w:val="页脚 Char"/>
    <w:basedOn w:val="4"/>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367</Words>
  <Characters>2094</Characters>
  <Lines>17</Lines>
  <Paragraphs>4</Paragraphs>
  <ScaleCrop>false</ScaleCrop>
  <LinksUpToDate>false</LinksUpToDate>
  <CharactersWithSpaces>0</CharactersWithSpaces>
  <Application>WPS Office 个人版_9.1.0.4883_{F1E327BC-269C-435d-A152-05C5408002CA}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2016-03-25T03:13:00Z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2052-9.1.0.4883</vt:lpwstr>
  </property>
</Properties>
</file>